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82EC4" w:rsidRDefault="0054092F" w:rsidP="0054092F">
      <w:pPr>
        <w:pStyle w:val="Heading2"/>
        <w:numPr>
          <w:ilvl w:val="0"/>
          <w:numId w:val="0"/>
        </w:numPr>
        <w:spacing w:before="60"/>
        <w:rPr>
          <w:color w:val="auto"/>
          <w:sz w:val="48"/>
          <w:szCs w:val="48"/>
        </w:rPr>
      </w:pPr>
      <w:r w:rsidRPr="00682EC4">
        <w:rPr>
          <w:color w:val="auto"/>
          <w:sz w:val="48"/>
          <w:szCs w:val="48"/>
        </w:rPr>
        <w:t xml:space="preserve">State code </w:t>
      </w:r>
      <w:r w:rsidR="00B7223D">
        <w:rPr>
          <w:color w:val="auto"/>
          <w:sz w:val="48"/>
          <w:szCs w:val="48"/>
        </w:rPr>
        <w:t>13</w:t>
      </w:r>
      <w:r w:rsidRPr="00682EC4">
        <w:rPr>
          <w:color w:val="auto"/>
          <w:sz w:val="48"/>
          <w:szCs w:val="48"/>
        </w:rPr>
        <w:t xml:space="preserve">: </w:t>
      </w:r>
      <w:r w:rsidR="00B7223D">
        <w:rPr>
          <w:color w:val="auto"/>
          <w:sz w:val="48"/>
          <w:szCs w:val="48"/>
        </w:rPr>
        <w:t>Unexploded ordnance</w:t>
      </w:r>
    </w:p>
    <w:p w:rsidR="00D869A8" w:rsidRPr="00644DFE" w:rsidRDefault="00D869A8" w:rsidP="007E45A6"/>
    <w:p w:rsidR="0082382C" w:rsidRPr="007E45A6" w:rsidRDefault="0054092F" w:rsidP="007E45A6">
      <w:r w:rsidRPr="007E45A6">
        <w:t xml:space="preserve">Table </w:t>
      </w:r>
      <w:r w:rsidR="00B7223D" w:rsidRPr="007E45A6">
        <w:t>13.2.1</w:t>
      </w:r>
      <w:r w:rsidRPr="007E45A6">
        <w:t xml:space="preserve">: </w:t>
      </w:r>
      <w:r w:rsidR="00B7223D" w:rsidRPr="007E45A6">
        <w:t>Material change of use and reconfiguring a lot</w:t>
      </w:r>
      <w:r w:rsidRPr="007E45A6">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8"/>
        <w:gridCol w:w="5009"/>
        <w:gridCol w:w="5009"/>
      </w:tblGrid>
      <w:tr w:rsidR="00371CA3" w:rsidRPr="00644DFE" w:rsidTr="00842D52">
        <w:trPr>
          <w:trHeight w:val="20"/>
          <w:tblHeader/>
        </w:trPr>
        <w:tc>
          <w:tcPr>
            <w:tcW w:w="1650" w:type="pct"/>
            <w:tcBorders>
              <w:left w:val="single" w:sz="4" w:space="0" w:color="333333"/>
              <w:bottom w:val="single" w:sz="4" w:space="0" w:color="333333"/>
              <w:right w:val="single" w:sz="4" w:space="0" w:color="333333"/>
            </w:tcBorders>
            <w:shd w:val="clear" w:color="auto" w:fill="000000" w:themeFill="text1"/>
            <w:vAlign w:val="center"/>
          </w:tcPr>
          <w:p w:rsidR="00371CA3" w:rsidRPr="00B840A1" w:rsidRDefault="00371CA3" w:rsidP="007E45A6">
            <w:pPr>
              <w:pStyle w:val="TableHeadingLeft-White"/>
            </w:pPr>
            <w:r w:rsidRPr="00B840A1">
              <w:t>Performance outcomes</w:t>
            </w:r>
          </w:p>
        </w:tc>
        <w:tc>
          <w:tcPr>
            <w:tcW w:w="1650" w:type="pct"/>
            <w:tcBorders>
              <w:left w:val="single" w:sz="4" w:space="0" w:color="333333"/>
              <w:bottom w:val="single" w:sz="4" w:space="0" w:color="333333"/>
              <w:right w:val="single" w:sz="4" w:space="0" w:color="333333"/>
            </w:tcBorders>
            <w:shd w:val="clear" w:color="auto" w:fill="000000" w:themeFill="text1"/>
            <w:vAlign w:val="center"/>
          </w:tcPr>
          <w:p w:rsidR="00371CA3" w:rsidRPr="00B840A1" w:rsidRDefault="00371CA3" w:rsidP="007E45A6">
            <w:pPr>
              <w:pStyle w:val="TableHeadingLeft-White"/>
            </w:pPr>
            <w:r w:rsidRPr="00B840A1">
              <w:t>Acceptable outcomes</w:t>
            </w:r>
          </w:p>
        </w:tc>
        <w:tc>
          <w:tcPr>
            <w:tcW w:w="1650" w:type="pct"/>
            <w:tcBorders>
              <w:left w:val="single" w:sz="4" w:space="0" w:color="333333"/>
              <w:bottom w:val="single" w:sz="4" w:space="0" w:color="333333"/>
              <w:right w:val="single" w:sz="4" w:space="0" w:color="333333"/>
            </w:tcBorders>
            <w:shd w:val="clear" w:color="auto" w:fill="000000" w:themeFill="text1"/>
          </w:tcPr>
          <w:p w:rsidR="00371CA3" w:rsidRPr="00B840A1" w:rsidRDefault="00371CA3" w:rsidP="007E45A6">
            <w:pPr>
              <w:pStyle w:val="TableHeadingLeft-White"/>
            </w:pPr>
            <w:r w:rsidRPr="00B840A1">
              <w:t>Response</w:t>
            </w:r>
          </w:p>
        </w:tc>
      </w:tr>
      <w:tr w:rsidR="00371CA3" w:rsidRPr="00644DFE" w:rsidTr="00371CA3">
        <w:tc>
          <w:tcPr>
            <w:tcW w:w="1650" w:type="pct"/>
            <w:tcBorders>
              <w:top w:val="single" w:sz="4" w:space="0" w:color="333333"/>
              <w:left w:val="single" w:sz="4" w:space="0" w:color="333333"/>
              <w:right w:val="single" w:sz="4" w:space="0" w:color="333333"/>
            </w:tcBorders>
          </w:tcPr>
          <w:p w:rsidR="00371CA3" w:rsidRPr="007E45A6" w:rsidRDefault="00371CA3" w:rsidP="007E45A6">
            <w:pPr>
              <w:pStyle w:val="TabletextAOs"/>
              <w:spacing w:before="0" w:after="0"/>
              <w:rPr>
                <w:b/>
                <w:sz w:val="20"/>
                <w:szCs w:val="20"/>
              </w:rPr>
            </w:pPr>
            <w:r w:rsidRPr="007E45A6">
              <w:rPr>
                <w:sz w:val="20"/>
                <w:szCs w:val="20"/>
              </w:rPr>
              <w:t>PO1 A contractor approved by the Commonwealth Department of Defence has certified that the area identified as having substantial UXO potential has been remediated or can be managed to be suitable for the proposed use.</w:t>
            </w:r>
          </w:p>
          <w:p w:rsidR="00371CA3" w:rsidRPr="007E45A6" w:rsidRDefault="00371CA3" w:rsidP="007E45A6">
            <w:pPr>
              <w:pStyle w:val="TabletextAOs"/>
              <w:spacing w:before="0" w:after="0"/>
              <w:rPr>
                <w:sz w:val="20"/>
                <w:szCs w:val="20"/>
              </w:rPr>
            </w:pPr>
          </w:p>
          <w:p w:rsidR="00371CA3" w:rsidRPr="007E45A6" w:rsidRDefault="00371CA3" w:rsidP="007E45A6">
            <w:pPr>
              <w:pStyle w:val="TabletextAOs"/>
              <w:spacing w:before="0" w:after="0"/>
              <w:rPr>
                <w:b/>
                <w:sz w:val="16"/>
                <w:szCs w:val="16"/>
              </w:rPr>
            </w:pPr>
            <w:r w:rsidRPr="007E45A6">
              <w:rPr>
                <w:sz w:val="16"/>
                <w:szCs w:val="16"/>
              </w:rPr>
              <w:t xml:space="preserve">Note: A UXO search can be conducted through the Australian Department of Defence located at </w:t>
            </w:r>
            <w:hyperlink r:id="rId8" w:history="1">
              <w:r w:rsidRPr="007E45A6">
                <w:rPr>
                  <w:rStyle w:val="Hyperlink"/>
                  <w:color w:val="auto"/>
                  <w:sz w:val="16"/>
                  <w:szCs w:val="16"/>
                </w:rPr>
                <w:t>www.defence.gov.au/uxo</w:t>
              </w:r>
            </w:hyperlink>
            <w:r w:rsidRPr="007E45A6">
              <w:rPr>
                <w:sz w:val="16"/>
                <w:szCs w:val="16"/>
              </w:rPr>
              <w:t>.</w:t>
            </w:r>
          </w:p>
          <w:p w:rsidR="00371CA3" w:rsidRPr="007E45A6" w:rsidRDefault="00371CA3" w:rsidP="007E45A6">
            <w:pPr>
              <w:pStyle w:val="TabletextAOs"/>
              <w:spacing w:before="0" w:after="0"/>
              <w:rPr>
                <w:sz w:val="20"/>
                <w:szCs w:val="20"/>
              </w:rPr>
            </w:pPr>
            <w:r w:rsidRPr="007E45A6">
              <w:rPr>
                <w:sz w:val="16"/>
                <w:szCs w:val="16"/>
              </w:rPr>
              <w:t xml:space="preserve">The Australian Department of Defence maintains a list of approved UXO consultants (D2) and contractors (F2) on the Defence Environment and Heritage Panel. Further details are located at: </w:t>
            </w:r>
            <w:hyperlink r:id="rId9" w:history="1">
              <w:r w:rsidRPr="007E45A6">
                <w:rPr>
                  <w:rStyle w:val="Hyperlink"/>
                  <w:color w:val="auto"/>
                  <w:sz w:val="16"/>
                  <w:szCs w:val="16"/>
                </w:rPr>
                <w:t>www.defence.gov.au/estatemanagement/support/DEHP/WhoToEngage.asp</w:t>
              </w:r>
            </w:hyperlink>
            <w:r w:rsidRPr="007E45A6">
              <w:rPr>
                <w:sz w:val="16"/>
                <w:szCs w:val="16"/>
              </w:rPr>
              <w:t>.</w:t>
            </w:r>
          </w:p>
        </w:tc>
        <w:tc>
          <w:tcPr>
            <w:tcW w:w="1650" w:type="pct"/>
            <w:tcBorders>
              <w:top w:val="single" w:sz="4" w:space="0" w:color="333333"/>
              <w:left w:val="single" w:sz="4" w:space="0" w:color="333333"/>
              <w:bottom w:val="single" w:sz="4" w:space="0" w:color="333333"/>
              <w:right w:val="single" w:sz="4" w:space="0" w:color="333333"/>
            </w:tcBorders>
          </w:tcPr>
          <w:p w:rsidR="00371CA3" w:rsidRPr="007E45A6" w:rsidRDefault="00371CA3" w:rsidP="007E45A6">
            <w:pPr>
              <w:pStyle w:val="TabletextAOs"/>
              <w:spacing w:before="0" w:after="0"/>
              <w:rPr>
                <w:b/>
                <w:sz w:val="20"/>
                <w:szCs w:val="20"/>
              </w:rPr>
            </w:pPr>
            <w:r w:rsidRPr="007E45A6">
              <w:rPr>
                <w:sz w:val="20"/>
                <w:szCs w:val="20"/>
              </w:rPr>
              <w:t>No accepta</w:t>
            </w:r>
            <w:bookmarkStart w:id="0" w:name="_GoBack"/>
            <w:bookmarkEnd w:id="0"/>
            <w:r w:rsidRPr="007E45A6">
              <w:rPr>
                <w:sz w:val="20"/>
                <w:szCs w:val="20"/>
              </w:rPr>
              <w:t>ble outcome is prescribed.</w:t>
            </w:r>
          </w:p>
        </w:tc>
        <w:tc>
          <w:tcPr>
            <w:tcW w:w="1650" w:type="pct"/>
            <w:tcBorders>
              <w:top w:val="single" w:sz="4" w:space="0" w:color="333333"/>
              <w:left w:val="single" w:sz="4" w:space="0" w:color="333333"/>
              <w:bottom w:val="single" w:sz="4" w:space="0" w:color="333333"/>
              <w:right w:val="single" w:sz="4" w:space="0" w:color="333333"/>
            </w:tcBorders>
          </w:tcPr>
          <w:p w:rsidR="00371CA3" w:rsidRPr="007E45A6" w:rsidRDefault="00371CA3" w:rsidP="007E45A6">
            <w:pPr>
              <w:spacing w:before="0" w:after="0"/>
              <w:rPr>
                <w:sz w:val="20"/>
                <w:szCs w:val="20"/>
                <w:highlight w:val="lightGray"/>
                <w:lang w:eastAsia="en-US"/>
              </w:rPr>
            </w:pPr>
            <w:r w:rsidRPr="007E45A6">
              <w:rPr>
                <w:sz w:val="20"/>
                <w:szCs w:val="20"/>
                <w:highlight w:val="lightGray"/>
                <w:lang w:eastAsia="en-US"/>
              </w:rPr>
              <w:t>Complies with PO# / AO#</w:t>
            </w:r>
          </w:p>
          <w:p w:rsidR="00371CA3" w:rsidRPr="007E45A6" w:rsidRDefault="00371CA3" w:rsidP="007E45A6">
            <w:pPr>
              <w:spacing w:before="0" w:after="0"/>
              <w:rPr>
                <w:b/>
                <w:sz w:val="20"/>
                <w:szCs w:val="20"/>
                <w:highlight w:val="lightGray"/>
                <w:lang w:eastAsia="en-US"/>
              </w:rPr>
            </w:pPr>
            <w:r w:rsidRPr="007E45A6">
              <w:rPr>
                <w:sz w:val="20"/>
                <w:szCs w:val="20"/>
                <w:highlight w:val="lightGray"/>
                <w:lang w:eastAsia="en-US"/>
              </w:rPr>
              <w:t>Use this column to indicate whether compliance is achieved with the relevant PO or AO (or if they do not apply), and explain why</w:t>
            </w:r>
          </w:p>
        </w:tc>
      </w:tr>
    </w:tbl>
    <w:p w:rsidR="0001091E" w:rsidRPr="00644DFE" w:rsidRDefault="0001091E" w:rsidP="007E45A6"/>
    <w:p w:rsidR="00E213F3" w:rsidRPr="00644DFE" w:rsidRDefault="00E213F3" w:rsidP="007E45A6"/>
    <w:sectPr w:rsidR="00E213F3" w:rsidRPr="00644DFE" w:rsidSect="00DD61E1">
      <w:footerReference w:type="even" r:id="rId10"/>
      <w:footerReference w:type="default" r:id="rId11"/>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963" w:rsidRDefault="000A0963" w:rsidP="007E45A6">
      <w:r>
        <w:separator/>
      </w:r>
    </w:p>
    <w:p w:rsidR="000A0963" w:rsidRDefault="000A0963" w:rsidP="007E45A6"/>
    <w:p w:rsidR="000A0963" w:rsidRDefault="000A0963" w:rsidP="007E45A6"/>
    <w:p w:rsidR="000A0963" w:rsidRDefault="000A0963" w:rsidP="007E45A6"/>
    <w:p w:rsidR="000A0963" w:rsidRDefault="000A0963" w:rsidP="007E45A6"/>
  </w:endnote>
  <w:endnote w:type="continuationSeparator" w:id="0">
    <w:p w:rsidR="000A0963" w:rsidRDefault="000A0963" w:rsidP="007E45A6">
      <w:r>
        <w:continuationSeparator/>
      </w:r>
    </w:p>
    <w:p w:rsidR="000A0963" w:rsidRDefault="000A0963" w:rsidP="007E45A6"/>
    <w:p w:rsidR="000A0963" w:rsidRDefault="000A0963" w:rsidP="007E45A6"/>
    <w:p w:rsidR="000A0963" w:rsidRDefault="000A0963" w:rsidP="007E45A6"/>
    <w:p w:rsidR="000A0963" w:rsidRDefault="000A0963" w:rsidP="007E4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font>
  <w:font w:name="MetaOT-Book">
    <w:altName w:val="Malgun Gothic"/>
    <w:panose1 w:val="00000000000000000000"/>
    <w:charset w:val="00"/>
    <w:family w:val="modern"/>
    <w:notTrueType/>
    <w:pitch w:val="variable"/>
    <w:sig w:usb0="800000AF" w:usb1="4000206B"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7E45A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7E45A6">
    <w:pPr>
      <w:pStyle w:val="Footer"/>
    </w:pPr>
  </w:p>
  <w:p w:rsidR="0001091E" w:rsidRDefault="0001091E" w:rsidP="007E45A6"/>
  <w:p w:rsidR="00C25F18" w:rsidRDefault="00C25F18" w:rsidP="007E45A6"/>
  <w:p w:rsidR="003E6A20" w:rsidRDefault="003E6A20" w:rsidP="007E45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682EC4" w:rsidRDefault="0001091E" w:rsidP="007E45A6">
    <w:pPr>
      <w:pStyle w:val="Footer"/>
    </w:pPr>
    <w:r w:rsidRPr="00682EC4">
      <w:t xml:space="preserve">State </w:t>
    </w:r>
    <w:r w:rsidR="00201EAF" w:rsidRPr="00682EC4">
      <w:t xml:space="preserve">Development Assessment Provisions – </w:t>
    </w:r>
    <w:r w:rsidR="00CF2AC7">
      <w:t>version 2.2</w:t>
    </w:r>
    <w:r w:rsidRPr="00682EC4">
      <w:tab/>
    </w:r>
    <w:r w:rsidR="001F10C6" w:rsidRPr="00682EC4">
      <w:tab/>
    </w:r>
  </w:p>
  <w:p w:rsidR="0001091E" w:rsidRPr="00682EC4" w:rsidRDefault="00B7223D" w:rsidP="007E45A6">
    <w:pPr>
      <w:pStyle w:val="Footer"/>
    </w:pPr>
    <w:r>
      <w:t>State code 13</w:t>
    </w:r>
    <w:r w:rsidR="0054092F" w:rsidRPr="00682EC4">
      <w:t xml:space="preserve">: </w:t>
    </w:r>
    <w:r>
      <w:t>Unexploded ordnance</w:t>
    </w:r>
    <w:r w:rsidR="0001091E" w:rsidRPr="00682EC4">
      <w:tab/>
      <w:t xml:space="preserve"> </w:t>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t xml:space="preserve">Page </w:t>
    </w:r>
    <w:r w:rsidR="0001091E" w:rsidRPr="00682EC4">
      <w:fldChar w:fldCharType="begin"/>
    </w:r>
    <w:r w:rsidR="0001091E" w:rsidRPr="00682EC4">
      <w:instrText xml:space="preserve"> PAGE </w:instrText>
    </w:r>
    <w:r w:rsidR="0001091E" w:rsidRPr="00682EC4">
      <w:fldChar w:fldCharType="separate"/>
    </w:r>
    <w:r w:rsidR="007E45A6">
      <w:rPr>
        <w:noProof/>
      </w:rPr>
      <w:t>1</w:t>
    </w:r>
    <w:r w:rsidR="0001091E" w:rsidRPr="00682EC4">
      <w:fldChar w:fldCharType="end"/>
    </w:r>
    <w:r w:rsidR="0001091E" w:rsidRPr="00682EC4">
      <w:t xml:space="preserve"> of </w:t>
    </w:r>
    <w:fldSimple w:instr=" NUMPAGES ">
      <w:r w:rsidR="007E45A6">
        <w:rPr>
          <w:noProof/>
        </w:rPr>
        <w:t>1</w:t>
      </w:r>
    </w:fldSimple>
  </w:p>
  <w:p w:rsidR="0001091E" w:rsidRPr="00682EC4" w:rsidRDefault="00F70B22" w:rsidP="007E45A6">
    <w:r>
      <w:tab/>
    </w:r>
  </w:p>
  <w:p w:rsidR="00C25F18" w:rsidRDefault="00C25F18" w:rsidP="007E45A6"/>
  <w:p w:rsidR="003E6A20" w:rsidRDefault="003E6A20" w:rsidP="007E45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963" w:rsidRDefault="000A0963" w:rsidP="007E45A6">
      <w:r>
        <w:separator/>
      </w:r>
    </w:p>
    <w:p w:rsidR="000A0963" w:rsidRDefault="000A0963" w:rsidP="007E45A6"/>
    <w:p w:rsidR="000A0963" w:rsidRDefault="000A0963" w:rsidP="007E45A6"/>
    <w:p w:rsidR="000A0963" w:rsidRDefault="000A0963" w:rsidP="007E45A6"/>
    <w:p w:rsidR="000A0963" w:rsidRDefault="000A0963" w:rsidP="007E45A6"/>
  </w:footnote>
  <w:footnote w:type="continuationSeparator" w:id="0">
    <w:p w:rsidR="000A0963" w:rsidRDefault="000A0963" w:rsidP="007E45A6">
      <w:r>
        <w:continuationSeparator/>
      </w:r>
    </w:p>
    <w:p w:rsidR="000A0963" w:rsidRDefault="000A0963" w:rsidP="007E45A6"/>
    <w:p w:rsidR="000A0963" w:rsidRDefault="000A0963" w:rsidP="007E45A6"/>
    <w:p w:rsidR="000A0963" w:rsidRDefault="000A0963" w:rsidP="007E45A6"/>
    <w:p w:rsidR="000A0963" w:rsidRDefault="000A0963" w:rsidP="007E45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17626C"/>
    <w:multiLevelType w:val="multilevel"/>
    <w:tmpl w:val="82F67ED8"/>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E9D2425"/>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3" w15:restartNumberingAfterBreak="0">
    <w:nsid w:val="230826A5"/>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4"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25DC2590"/>
    <w:multiLevelType w:val="hybridMultilevel"/>
    <w:tmpl w:val="981AB9C2"/>
    <w:lvl w:ilvl="0" w:tplc="4AEE20E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0E61556"/>
    <w:multiLevelType w:val="multilevel"/>
    <w:tmpl w:val="7408F434"/>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7" w15:restartNumberingAfterBreak="0">
    <w:nsid w:val="37CF4A89"/>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8"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9"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2"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3" w15:restartNumberingAfterBreak="0">
    <w:nsid w:val="4BA00E63"/>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4" w15:restartNumberingAfterBreak="0">
    <w:nsid w:val="4DD10F3F"/>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5" w15:restartNumberingAfterBreak="0">
    <w:nsid w:val="4ED63276"/>
    <w:multiLevelType w:val="multilevel"/>
    <w:tmpl w:val="C6F2D096"/>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6"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7"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8" w15:restartNumberingAfterBreak="0">
    <w:nsid w:val="638F243F"/>
    <w:multiLevelType w:val="hybridMultilevel"/>
    <w:tmpl w:val="42A41B74"/>
    <w:lvl w:ilvl="0" w:tplc="9BC8AD9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8C75A7E"/>
    <w:multiLevelType w:val="hybridMultilevel"/>
    <w:tmpl w:val="981AB9C2"/>
    <w:lvl w:ilvl="0" w:tplc="4AEE20E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9C91885"/>
    <w:multiLevelType w:val="multilevel"/>
    <w:tmpl w:val="F25C4EAA"/>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31"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50C1964"/>
    <w:multiLevelType w:val="multilevel"/>
    <w:tmpl w:val="2F8C78E4"/>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33"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20"/>
  </w:num>
  <w:num w:numId="3">
    <w:abstractNumId w:val="21"/>
  </w:num>
  <w:num w:numId="4">
    <w:abstractNumId w:val="27"/>
  </w:num>
  <w:num w:numId="5">
    <w:abstractNumId w:val="33"/>
  </w:num>
  <w:num w:numId="6">
    <w:abstractNumId w:val="8"/>
  </w:num>
  <w:num w:numId="7">
    <w:abstractNumId w:val="3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6"/>
  </w:num>
  <w:num w:numId="17">
    <w:abstractNumId w:val="18"/>
  </w:num>
  <w:num w:numId="18">
    <w:abstractNumId w:val="10"/>
  </w:num>
  <w:num w:numId="19">
    <w:abstractNumId w:val="22"/>
  </w:num>
  <w:num w:numId="20">
    <w:abstractNumId w:val="19"/>
  </w:num>
  <w:num w:numId="21">
    <w:abstractNumId w:val="11"/>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8"/>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17"/>
  </w:num>
  <w:num w:numId="51">
    <w:abstractNumId w:val="9"/>
  </w:num>
  <w:num w:numId="52">
    <w:abstractNumId w:val="12"/>
  </w:num>
  <w:num w:numId="53">
    <w:abstractNumId w:val="23"/>
  </w:num>
  <w:num w:numId="54">
    <w:abstractNumId w:val="32"/>
  </w:num>
  <w:num w:numId="55">
    <w:abstractNumId w:val="30"/>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13"/>
  </w:num>
  <w:num w:numId="5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num>
  <w:num w:numId="66">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D8"/>
    <w:rsid w:val="000039F4"/>
    <w:rsid w:val="0001091E"/>
    <w:rsid w:val="0002510C"/>
    <w:rsid w:val="000A0963"/>
    <w:rsid w:val="000C0828"/>
    <w:rsid w:val="000C34E3"/>
    <w:rsid w:val="000C4653"/>
    <w:rsid w:val="000C567C"/>
    <w:rsid w:val="000D69C9"/>
    <w:rsid w:val="000E36BA"/>
    <w:rsid w:val="000E7490"/>
    <w:rsid w:val="000F271D"/>
    <w:rsid w:val="00106C96"/>
    <w:rsid w:val="00111ADA"/>
    <w:rsid w:val="00120F16"/>
    <w:rsid w:val="00146652"/>
    <w:rsid w:val="0015202E"/>
    <w:rsid w:val="001525C3"/>
    <w:rsid w:val="00156577"/>
    <w:rsid w:val="001663DF"/>
    <w:rsid w:val="001804D5"/>
    <w:rsid w:val="0019352F"/>
    <w:rsid w:val="00193C5D"/>
    <w:rsid w:val="00193E7B"/>
    <w:rsid w:val="001C70C0"/>
    <w:rsid w:val="001D4094"/>
    <w:rsid w:val="001D5716"/>
    <w:rsid w:val="001F10C6"/>
    <w:rsid w:val="00201EAF"/>
    <w:rsid w:val="00202E9F"/>
    <w:rsid w:val="0021512A"/>
    <w:rsid w:val="00246DB9"/>
    <w:rsid w:val="00247232"/>
    <w:rsid w:val="0026103D"/>
    <w:rsid w:val="00281EE9"/>
    <w:rsid w:val="00286808"/>
    <w:rsid w:val="00287FF3"/>
    <w:rsid w:val="00290331"/>
    <w:rsid w:val="002B25E3"/>
    <w:rsid w:val="002F71B3"/>
    <w:rsid w:val="0031159A"/>
    <w:rsid w:val="00313C1B"/>
    <w:rsid w:val="003549FE"/>
    <w:rsid w:val="0036650E"/>
    <w:rsid w:val="00371CA3"/>
    <w:rsid w:val="00376B28"/>
    <w:rsid w:val="003D3803"/>
    <w:rsid w:val="003E6A20"/>
    <w:rsid w:val="003F71C9"/>
    <w:rsid w:val="00424BC7"/>
    <w:rsid w:val="004332A1"/>
    <w:rsid w:val="00447977"/>
    <w:rsid w:val="004912EC"/>
    <w:rsid w:val="00491ADD"/>
    <w:rsid w:val="004B0F1E"/>
    <w:rsid w:val="004B6CA4"/>
    <w:rsid w:val="004C50FC"/>
    <w:rsid w:val="004F2AE0"/>
    <w:rsid w:val="004F3FBF"/>
    <w:rsid w:val="00505041"/>
    <w:rsid w:val="00540584"/>
    <w:rsid w:val="0054092F"/>
    <w:rsid w:val="00552CFA"/>
    <w:rsid w:val="00583247"/>
    <w:rsid w:val="005A246A"/>
    <w:rsid w:val="005A6D1D"/>
    <w:rsid w:val="005A7550"/>
    <w:rsid w:val="006038CE"/>
    <w:rsid w:val="00644DFE"/>
    <w:rsid w:val="00657FAD"/>
    <w:rsid w:val="00663D7D"/>
    <w:rsid w:val="00682D53"/>
    <w:rsid w:val="00682EC4"/>
    <w:rsid w:val="006A3B90"/>
    <w:rsid w:val="006A7F04"/>
    <w:rsid w:val="006B32EC"/>
    <w:rsid w:val="006F0478"/>
    <w:rsid w:val="006F36D8"/>
    <w:rsid w:val="006F6771"/>
    <w:rsid w:val="0071097B"/>
    <w:rsid w:val="00730A42"/>
    <w:rsid w:val="007370D3"/>
    <w:rsid w:val="00744A44"/>
    <w:rsid w:val="00756201"/>
    <w:rsid w:val="0076449D"/>
    <w:rsid w:val="00785951"/>
    <w:rsid w:val="0079154C"/>
    <w:rsid w:val="007B4F01"/>
    <w:rsid w:val="007D4D30"/>
    <w:rsid w:val="007E45A6"/>
    <w:rsid w:val="007F04EB"/>
    <w:rsid w:val="007F43CF"/>
    <w:rsid w:val="0082382C"/>
    <w:rsid w:val="008347B7"/>
    <w:rsid w:val="008426C0"/>
    <w:rsid w:val="00842D52"/>
    <w:rsid w:val="00852389"/>
    <w:rsid w:val="00857309"/>
    <w:rsid w:val="008B713B"/>
    <w:rsid w:val="0092741D"/>
    <w:rsid w:val="0095228F"/>
    <w:rsid w:val="00971B51"/>
    <w:rsid w:val="00974393"/>
    <w:rsid w:val="00983C58"/>
    <w:rsid w:val="00991521"/>
    <w:rsid w:val="00996E28"/>
    <w:rsid w:val="00A110DE"/>
    <w:rsid w:val="00AC4254"/>
    <w:rsid w:val="00B03B88"/>
    <w:rsid w:val="00B1102D"/>
    <w:rsid w:val="00B20D9C"/>
    <w:rsid w:val="00B41239"/>
    <w:rsid w:val="00B60C1E"/>
    <w:rsid w:val="00B7223D"/>
    <w:rsid w:val="00B80823"/>
    <w:rsid w:val="00B840A1"/>
    <w:rsid w:val="00B90D04"/>
    <w:rsid w:val="00BB5E39"/>
    <w:rsid w:val="00BB715B"/>
    <w:rsid w:val="00BC3A56"/>
    <w:rsid w:val="00BE06E4"/>
    <w:rsid w:val="00C04F5B"/>
    <w:rsid w:val="00C232D3"/>
    <w:rsid w:val="00C25F18"/>
    <w:rsid w:val="00C316A2"/>
    <w:rsid w:val="00C7106C"/>
    <w:rsid w:val="00C858BB"/>
    <w:rsid w:val="00CC1B57"/>
    <w:rsid w:val="00CC2D67"/>
    <w:rsid w:val="00CD02B1"/>
    <w:rsid w:val="00CE0F3F"/>
    <w:rsid w:val="00CF2AC7"/>
    <w:rsid w:val="00D275DC"/>
    <w:rsid w:val="00D36D7A"/>
    <w:rsid w:val="00D5760E"/>
    <w:rsid w:val="00D62A22"/>
    <w:rsid w:val="00D70D2C"/>
    <w:rsid w:val="00D869A8"/>
    <w:rsid w:val="00D971A8"/>
    <w:rsid w:val="00DA51B6"/>
    <w:rsid w:val="00DA78BE"/>
    <w:rsid w:val="00DB465C"/>
    <w:rsid w:val="00DD61E1"/>
    <w:rsid w:val="00DF619C"/>
    <w:rsid w:val="00E213F3"/>
    <w:rsid w:val="00E30C1E"/>
    <w:rsid w:val="00E313C0"/>
    <w:rsid w:val="00E8705B"/>
    <w:rsid w:val="00EF30A3"/>
    <w:rsid w:val="00F02D31"/>
    <w:rsid w:val="00F419CE"/>
    <w:rsid w:val="00F532CE"/>
    <w:rsid w:val="00F70B22"/>
    <w:rsid w:val="00F83BE6"/>
    <w:rsid w:val="00FA001D"/>
    <w:rsid w:val="00FA7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46C67E-8DB4-434F-9AD6-08CDDAFF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7E45A6"/>
    <w:pPr>
      <w:spacing w:before="60" w:after="60"/>
    </w:pPr>
    <w:rPr>
      <w:rFonts w:ascii="Arial" w:hAnsi="Arial"/>
      <w:bCs/>
      <w:sz w:val="22"/>
      <w:szCs w:val="22"/>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4"/>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2"/>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uiPriority w:val="99"/>
    <w:rsid w:val="007370D3"/>
    <w:rPr>
      <w:color w:val="0000FF"/>
      <w:u w:val="single"/>
    </w:rPr>
  </w:style>
  <w:style w:type="numbering" w:styleId="111111">
    <w:name w:val="Outline List 2"/>
    <w:basedOn w:val="NoList"/>
    <w:semiHidden/>
    <w:rsid w:val="007370D3"/>
    <w:pPr>
      <w:numPr>
        <w:numId w:val="5"/>
      </w:numPr>
    </w:pPr>
  </w:style>
  <w:style w:type="paragraph" w:customStyle="1" w:styleId="NoHeading3">
    <w:name w:val="No. Heading 3"/>
    <w:basedOn w:val="Heading3"/>
    <w:semiHidden/>
    <w:rsid w:val="007370D3"/>
    <w:pPr>
      <w:numPr>
        <w:numId w:val="19"/>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9"/>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sz w:val="28"/>
    </w:rPr>
  </w:style>
  <w:style w:type="character" w:customStyle="1" w:styleId="DocSubTitle">
    <w:name w:val="DocSubTitle"/>
    <w:basedOn w:val="DefaultParagraphFont"/>
    <w:semiHidden/>
    <w:rsid w:val="007370D3"/>
  </w:style>
  <w:style w:type="paragraph" w:styleId="ListParagraph">
    <w:name w:val="List Paragraph"/>
    <w:basedOn w:val="BodyText"/>
    <w:qFormat/>
    <w:rsid w:val="007370D3"/>
    <w:pPr>
      <w:numPr>
        <w:numId w:val="18"/>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lang w:val="en-NZ" w:eastAsia="en-US"/>
    </w:rPr>
  </w:style>
  <w:style w:type="paragraph" w:customStyle="1" w:styleId="TableTitle">
    <w:name w:val="Table Title"/>
    <w:basedOn w:val="Heading5"/>
    <w:semiHidden/>
    <w:rsid w:val="007370D3"/>
    <w:pPr>
      <w:numPr>
        <w:numId w:val="18"/>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color w:val="333333"/>
      <w:sz w:val="18"/>
      <w:lang w:eastAsia="en-US"/>
    </w:rPr>
  </w:style>
  <w:style w:type="paragraph" w:customStyle="1" w:styleId="TableListNumber">
    <w:name w:val="Table List Number"/>
    <w:basedOn w:val="Normal"/>
    <w:semiHidden/>
    <w:rsid w:val="007370D3"/>
    <w:pPr>
      <w:numPr>
        <w:numId w:val="17"/>
      </w:numPr>
      <w:spacing w:after="40"/>
    </w:pPr>
    <w:rPr>
      <w:rFonts w:eastAsia="MS Mincho"/>
      <w:sz w:val="18"/>
      <w:lang w:eastAsia="en-US"/>
    </w:rPr>
  </w:style>
  <w:style w:type="paragraph" w:customStyle="1" w:styleId="TableListLetter">
    <w:name w:val="Table List Letter"/>
    <w:basedOn w:val="Normal"/>
    <w:semiHidden/>
    <w:rsid w:val="007370D3"/>
    <w:pPr>
      <w:numPr>
        <w:numId w:val="16"/>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6"/>
      </w:numPr>
    </w:pPr>
  </w:style>
  <w:style w:type="numbering" w:styleId="ArticleSection">
    <w:name w:val="Outline List 3"/>
    <w:basedOn w:val="NoList"/>
    <w:semiHidden/>
    <w:rsid w:val="007370D3"/>
    <w:pPr>
      <w:numPr>
        <w:numId w:val="7"/>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8"/>
      </w:numPr>
    </w:pPr>
  </w:style>
  <w:style w:type="paragraph" w:styleId="ListBullet3">
    <w:name w:val="List Bullet 3"/>
    <w:basedOn w:val="Normal"/>
    <w:semiHidden/>
    <w:rsid w:val="007370D3"/>
    <w:pPr>
      <w:numPr>
        <w:numId w:val="9"/>
      </w:numPr>
    </w:pPr>
  </w:style>
  <w:style w:type="paragraph" w:styleId="ListBullet4">
    <w:name w:val="List Bullet 4"/>
    <w:basedOn w:val="Normal"/>
    <w:semiHidden/>
    <w:rsid w:val="007370D3"/>
    <w:pPr>
      <w:numPr>
        <w:numId w:val="10"/>
      </w:numPr>
    </w:pPr>
  </w:style>
  <w:style w:type="paragraph" w:styleId="ListBullet5">
    <w:name w:val="List Bullet 5"/>
    <w:basedOn w:val="Normal"/>
    <w:semiHidden/>
    <w:rsid w:val="007370D3"/>
    <w:pPr>
      <w:numPr>
        <w:numId w:val="11"/>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2"/>
      </w:numPr>
    </w:pPr>
  </w:style>
  <w:style w:type="paragraph" w:styleId="ListNumber3">
    <w:name w:val="List Number 3"/>
    <w:basedOn w:val="Normal"/>
    <w:semiHidden/>
    <w:rsid w:val="007370D3"/>
    <w:pPr>
      <w:numPr>
        <w:numId w:val="13"/>
      </w:numPr>
    </w:pPr>
  </w:style>
  <w:style w:type="paragraph" w:styleId="ListNumber4">
    <w:name w:val="List Number 4"/>
    <w:basedOn w:val="Normal"/>
    <w:semiHidden/>
    <w:rsid w:val="007370D3"/>
    <w:pPr>
      <w:numPr>
        <w:numId w:val="14"/>
      </w:numPr>
    </w:pPr>
  </w:style>
  <w:style w:type="paragraph" w:styleId="ListNumber5">
    <w:name w:val="List Number 5"/>
    <w:basedOn w:val="Normal"/>
    <w:semiHidden/>
    <w:rsid w:val="007370D3"/>
    <w:pPr>
      <w:numPr>
        <w:numId w:val="15"/>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9"/>
      </w:numPr>
    </w:pPr>
  </w:style>
  <w:style w:type="paragraph" w:customStyle="1" w:styleId="TableRef">
    <w:name w:val="Table Ref"/>
    <w:basedOn w:val="Normal"/>
    <w:next w:val="BodyText"/>
    <w:rsid w:val="007370D3"/>
    <w:pPr>
      <w:spacing w:before="120"/>
    </w:pPr>
    <w:rPr>
      <w:b/>
      <w:color w:val="333333"/>
      <w:szCs w:val="18"/>
    </w:rPr>
  </w:style>
  <w:style w:type="paragraph" w:customStyle="1" w:styleId="FigureRef">
    <w:name w:val="Figure Ref"/>
    <w:basedOn w:val="TableRef"/>
    <w:next w:val="BodyText"/>
    <w:rsid w:val="007370D3"/>
    <w:pPr>
      <w:numPr>
        <w:ilvl w:val="3"/>
        <w:numId w:val="19"/>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8"/>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cs="Arial"/>
      <w:sz w:val="18"/>
      <w:szCs w:val="16"/>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cs="Arial"/>
      <w:color w:val="000000"/>
      <w:sz w:val="16"/>
      <w:szCs w:val="16"/>
    </w:rPr>
  </w:style>
  <w:style w:type="paragraph" w:customStyle="1" w:styleId="Glossarynumbering">
    <w:name w:val="Glossary numbering"/>
    <w:basedOn w:val="Glossarytext"/>
    <w:rsid w:val="007370D3"/>
    <w:pPr>
      <w:numPr>
        <w:numId w:val="20"/>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1"/>
      </w:numPr>
      <w:spacing w:before="0" w:after="0"/>
      <w:ind w:left="0" w:firstLine="0"/>
    </w:pPr>
  </w:style>
  <w:style w:type="paragraph" w:customStyle="1" w:styleId="StyleTableTextLeftBold">
    <w:name w:val="Style Table Text Left + Bold"/>
    <w:basedOn w:val="TableTextLeft"/>
    <w:rsid w:val="007370D3"/>
    <w:rPr>
      <w:b/>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paragraph" w:customStyle="1" w:styleId="StyleTabletextAOsLeft">
    <w:name w:val="Style Table text AOs + Left"/>
    <w:basedOn w:val="TabletextAOs"/>
    <w:rsid w:val="00B7223D"/>
    <w:pPr>
      <w:spacing w:before="40" w:after="0"/>
    </w:pPr>
    <w:rPr>
      <w:rFonts w:ascii="MetaOT-Book" w:eastAsia="Times New Roman" w:hAnsi="MetaOT-Book"/>
      <w:b/>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ence.gov.au/ux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fence.gov.au/estatemanagement/support/DEHP/WhoToEngag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453F7-258F-4435-B334-B4A6242A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State code 13: Unexploded ordnance - response template</vt:lpstr>
    </vt:vector>
  </TitlesOfParts>
  <Company>Queensland Government</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13: Unexploded ordnance - response template</dc:title>
  <dc:subject>Module 1.1 - Managing noise and vibration impacts from transport corridors state code</dc:subject>
  <dc:creator>Queensland Government</dc:creator>
  <cp:lastModifiedBy>Melissa Hector</cp:lastModifiedBy>
  <cp:revision>3</cp:revision>
  <cp:lastPrinted>2013-06-14T00:06:00Z</cp:lastPrinted>
  <dcterms:created xsi:type="dcterms:W3CDTF">2018-03-06T00:45:00Z</dcterms:created>
  <dcterms:modified xsi:type="dcterms:W3CDTF">2018-03-06T06:19:00Z</dcterms:modified>
</cp:coreProperties>
</file>